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1A074">
      <w:pPr>
        <w:spacing w:line="500" w:lineRule="exact"/>
        <w:jc w:val="center"/>
        <w:rPr>
          <w:rFonts w:ascii="黑体" w:hAnsi="黑体" w:eastAsia="黑体"/>
          <w:color w:val="auto"/>
          <w:sz w:val="40"/>
          <w:szCs w:val="40"/>
          <w:highlight w:val="none"/>
        </w:rPr>
      </w:pPr>
      <w:bookmarkStart w:id="0" w:name="_GoBack"/>
      <w:r>
        <w:rPr>
          <w:rFonts w:hint="eastAsia" w:ascii="黑体" w:hAnsi="黑体" w:eastAsia="黑体"/>
          <w:color w:val="auto"/>
          <w:sz w:val="40"/>
          <w:szCs w:val="40"/>
          <w:highlight w:val="none"/>
        </w:rPr>
        <w:t>202</w:t>
      </w:r>
      <w:r>
        <w:rPr>
          <w:rFonts w:hint="eastAsia" w:ascii="黑体" w:hAnsi="黑体" w:eastAsia="黑体"/>
          <w:color w:val="auto"/>
          <w:sz w:val="40"/>
          <w:szCs w:val="40"/>
          <w:highlight w:val="none"/>
          <w:lang w:val="en-US" w:eastAsia="zh-CN"/>
        </w:rPr>
        <w:t>6</w:t>
      </w:r>
      <w:r>
        <w:rPr>
          <w:rFonts w:hint="eastAsia" w:ascii="黑体" w:hAnsi="黑体" w:eastAsia="黑体"/>
          <w:color w:val="auto"/>
          <w:sz w:val="40"/>
          <w:szCs w:val="40"/>
          <w:highlight w:val="none"/>
        </w:rPr>
        <w:t>年硕士研究生入学考试自命题考试大纲</w:t>
      </w:r>
    </w:p>
    <w:p w14:paraId="41CAEEDD">
      <w:pPr>
        <w:spacing w:line="400" w:lineRule="exact"/>
        <w:ind w:firstLine="482" w:firstLineChars="150"/>
        <w:jc w:val="center"/>
        <w:rPr>
          <w:rFonts w:ascii="仿宋" w:hAnsi="仿宋" w:eastAsia="仿宋"/>
          <w:b/>
          <w:color w:val="auto"/>
          <w:sz w:val="32"/>
          <w:szCs w:val="32"/>
          <w:highlight w:val="none"/>
        </w:rPr>
      </w:pPr>
    </w:p>
    <w:p w14:paraId="27F83730">
      <w:pPr>
        <w:widowControl/>
        <w:spacing w:line="440" w:lineRule="exact"/>
        <w:ind w:firstLine="560" w:firstLineChars="200"/>
        <w:rPr>
          <w:rFonts w:ascii="Calibri" w:hAnsi="Calibri" w:eastAsia="方正书宋简体"/>
          <w:color w:val="auto"/>
          <w:kern w:val="0"/>
          <w:sz w:val="28"/>
          <w:szCs w:val="28"/>
          <w:highlight w:val="none"/>
        </w:rPr>
      </w:pPr>
      <w:r>
        <w:rPr>
          <w:rFonts w:hint="eastAsia" w:ascii="Calibri" w:hAnsi="Calibri" w:eastAsia="方正书宋简体"/>
          <w:color w:val="auto"/>
          <w:kern w:val="0"/>
          <w:sz w:val="28"/>
          <w:szCs w:val="28"/>
          <w:highlight w:val="none"/>
        </w:rPr>
        <w:t xml:space="preserve">考试科目代码： </w:t>
      </w:r>
      <w:r>
        <w:rPr>
          <w:rFonts w:ascii="Calibri" w:hAnsi="Calibri" w:eastAsia="方正书宋简体"/>
          <w:color w:val="auto"/>
          <w:kern w:val="0"/>
          <w:sz w:val="28"/>
          <w:szCs w:val="28"/>
          <w:highlight w:val="none"/>
        </w:rPr>
        <w:t xml:space="preserve">       </w:t>
      </w:r>
      <w:r>
        <w:rPr>
          <w:rFonts w:hint="eastAsia" w:ascii="Calibri" w:hAnsi="Calibri" w:eastAsia="方正书宋简体"/>
          <w:color w:val="auto"/>
          <w:kern w:val="0"/>
          <w:sz w:val="28"/>
          <w:szCs w:val="28"/>
          <w:highlight w:val="none"/>
        </w:rPr>
        <w:t xml:space="preserve">     </w:t>
      </w:r>
      <w:r>
        <w:rPr>
          <w:rFonts w:ascii="Calibri" w:hAnsi="Calibri" w:eastAsia="方正书宋简体"/>
          <w:color w:val="auto"/>
          <w:kern w:val="0"/>
          <w:sz w:val="28"/>
          <w:szCs w:val="28"/>
          <w:highlight w:val="none"/>
        </w:rPr>
        <w:t xml:space="preserve">             </w:t>
      </w:r>
      <w:r>
        <w:rPr>
          <w:rFonts w:hint="eastAsia" w:ascii="Calibri" w:hAnsi="Calibri" w:eastAsia="方正书宋简体"/>
          <w:color w:val="auto"/>
          <w:kern w:val="0"/>
          <w:sz w:val="28"/>
          <w:szCs w:val="28"/>
          <w:highlight w:val="none"/>
        </w:rPr>
        <w:t>考试科目名称： 民事诉讼法学</w:t>
      </w:r>
    </w:p>
    <w:p w14:paraId="052BF999">
      <w:pPr>
        <w:spacing w:line="400" w:lineRule="exact"/>
        <w:ind w:firstLine="643" w:firstLineChars="200"/>
        <w:rPr>
          <w:rFonts w:ascii="仿宋" w:hAnsi="仿宋" w:eastAsia="仿宋"/>
          <w:b/>
          <w:color w:val="auto"/>
          <w:sz w:val="32"/>
          <w:szCs w:val="32"/>
          <w:highlight w:val="none"/>
        </w:rPr>
      </w:pPr>
    </w:p>
    <w:p w14:paraId="67A70D8E">
      <w:pPr>
        <w:widowControl/>
        <w:spacing w:before="156" w:after="156" w:line="440" w:lineRule="exact"/>
        <w:ind w:firstLine="548" w:firstLineChars="196"/>
        <w:jc w:val="left"/>
        <w:rPr>
          <w:rFonts w:ascii="黑体" w:hAnsi="黑体" w:eastAsia="黑体"/>
          <w:bCs/>
          <w:color w:val="auto"/>
          <w:kern w:val="0"/>
          <w:sz w:val="28"/>
          <w:szCs w:val="28"/>
          <w:highlight w:val="none"/>
        </w:rPr>
      </w:pPr>
      <w:r>
        <w:rPr>
          <w:rFonts w:hint="eastAsia" w:ascii="黑体" w:hAnsi="黑体" w:eastAsia="黑体"/>
          <w:bCs/>
          <w:color w:val="auto"/>
          <w:kern w:val="0"/>
          <w:sz w:val="28"/>
          <w:szCs w:val="28"/>
          <w:highlight w:val="none"/>
        </w:rPr>
        <w:t>一、试卷结构</w:t>
      </w:r>
    </w:p>
    <w:p w14:paraId="07EB917A">
      <w:pPr>
        <w:widowControl/>
        <w:spacing w:line="440" w:lineRule="exact"/>
        <w:ind w:firstLine="560" w:firstLineChars="200"/>
        <w:jc w:val="left"/>
        <w:rPr>
          <w:rFonts w:ascii="仿宋_GB2312" w:hAnsi="Calibri" w:eastAsia="仿宋_GB2312"/>
          <w:color w:val="auto"/>
          <w:kern w:val="0"/>
          <w:sz w:val="28"/>
          <w:szCs w:val="28"/>
          <w:highlight w:val="none"/>
        </w:rPr>
      </w:pPr>
      <w:r>
        <w:rPr>
          <w:rFonts w:hint="eastAsia" w:ascii="仿宋_GB2312" w:hAnsi="Calibri" w:eastAsia="仿宋_GB2312"/>
          <w:color w:val="auto"/>
          <w:kern w:val="0"/>
          <w:sz w:val="28"/>
          <w:szCs w:val="28"/>
          <w:highlight w:val="none"/>
        </w:rPr>
        <w:t>1.试卷成绩及考试时间</w:t>
      </w:r>
    </w:p>
    <w:p w14:paraId="337B3539">
      <w:pPr>
        <w:widowControl/>
        <w:spacing w:line="440" w:lineRule="exact"/>
        <w:ind w:firstLine="560" w:firstLineChars="200"/>
        <w:jc w:val="left"/>
        <w:rPr>
          <w:rFonts w:ascii="仿宋_GB2312" w:hAnsi="Calibri" w:eastAsia="仿宋_GB2312"/>
          <w:color w:val="auto"/>
          <w:kern w:val="0"/>
          <w:sz w:val="28"/>
          <w:szCs w:val="28"/>
          <w:highlight w:val="none"/>
        </w:rPr>
      </w:pPr>
      <w:r>
        <w:rPr>
          <w:rFonts w:hint="eastAsia" w:ascii="仿宋_GB2312" w:hAnsi="Calibri" w:eastAsia="仿宋_GB2312"/>
          <w:color w:val="auto"/>
          <w:kern w:val="0"/>
          <w:sz w:val="28"/>
          <w:szCs w:val="28"/>
          <w:highlight w:val="none"/>
        </w:rPr>
        <w:t>本试卷满分为150分，考试时间为120分钟。</w:t>
      </w:r>
    </w:p>
    <w:p w14:paraId="07783D6A">
      <w:pPr>
        <w:widowControl/>
        <w:spacing w:line="440" w:lineRule="exact"/>
        <w:ind w:firstLine="560" w:firstLineChars="200"/>
        <w:jc w:val="left"/>
        <w:rPr>
          <w:rFonts w:ascii="仿宋_GB2312" w:hAnsi="Calibri" w:eastAsia="仿宋_GB2312"/>
          <w:color w:val="auto"/>
          <w:kern w:val="0"/>
          <w:sz w:val="28"/>
          <w:szCs w:val="28"/>
          <w:highlight w:val="none"/>
        </w:rPr>
      </w:pPr>
      <w:r>
        <w:rPr>
          <w:rFonts w:hint="eastAsia" w:ascii="仿宋_GB2312" w:hAnsi="Calibri" w:eastAsia="仿宋_GB2312"/>
          <w:color w:val="auto"/>
          <w:kern w:val="0"/>
          <w:sz w:val="28"/>
          <w:szCs w:val="28"/>
          <w:highlight w:val="none"/>
        </w:rPr>
        <w:t>2.答题方式：闭卷、笔试</w:t>
      </w:r>
    </w:p>
    <w:p w14:paraId="487C7A18">
      <w:pPr>
        <w:widowControl/>
        <w:spacing w:line="440" w:lineRule="exact"/>
        <w:ind w:firstLine="560" w:firstLineChars="200"/>
        <w:jc w:val="left"/>
        <w:rPr>
          <w:rFonts w:ascii="仿宋_GB2312" w:hAnsi="Calibri" w:eastAsia="仿宋_GB2312"/>
          <w:color w:val="auto"/>
          <w:kern w:val="0"/>
          <w:sz w:val="28"/>
          <w:szCs w:val="28"/>
          <w:highlight w:val="none"/>
        </w:rPr>
      </w:pPr>
      <w:r>
        <w:rPr>
          <w:rFonts w:hint="eastAsia" w:ascii="仿宋_GB2312" w:hAnsi="Calibri" w:eastAsia="仿宋_GB2312"/>
          <w:color w:val="auto"/>
          <w:kern w:val="0"/>
          <w:sz w:val="28"/>
          <w:szCs w:val="28"/>
          <w:highlight w:val="none"/>
        </w:rPr>
        <w:t>3.试卷内容结构</w:t>
      </w:r>
    </w:p>
    <w:p w14:paraId="1F54E207">
      <w:pPr>
        <w:widowControl/>
        <w:spacing w:line="440" w:lineRule="exact"/>
        <w:ind w:firstLine="560" w:firstLineChars="200"/>
        <w:jc w:val="left"/>
        <w:rPr>
          <w:rFonts w:ascii="仿宋_GB2312" w:hAnsi="Calibri" w:eastAsia="仿宋_GB2312"/>
          <w:color w:val="auto"/>
          <w:kern w:val="0"/>
          <w:sz w:val="28"/>
          <w:szCs w:val="28"/>
          <w:highlight w:val="none"/>
        </w:rPr>
      </w:pPr>
      <w:r>
        <w:rPr>
          <w:rFonts w:hint="eastAsia" w:ascii="仿宋_GB2312" w:hAnsi="Calibri" w:eastAsia="仿宋_GB2312"/>
          <w:color w:val="auto"/>
          <w:kern w:val="0"/>
          <w:sz w:val="28"/>
          <w:szCs w:val="28"/>
          <w:highlight w:val="none"/>
        </w:rPr>
        <w:t>民事诉讼法基础理论，民事诉讼审判程序制度（管辖制度、当事人制度、普通程序、简易程序、二审程序、民事诉讼中的裁判、再审程序、特别程序），民事诉讼证据制度，民事执行制度。</w:t>
      </w:r>
    </w:p>
    <w:p w14:paraId="289E57E7">
      <w:pPr>
        <w:widowControl/>
        <w:spacing w:line="440" w:lineRule="exact"/>
        <w:ind w:firstLine="560" w:firstLineChars="200"/>
        <w:jc w:val="left"/>
        <w:rPr>
          <w:rFonts w:ascii="仿宋_GB2312" w:hAnsi="Calibri" w:eastAsia="仿宋_GB2312"/>
          <w:color w:val="auto"/>
          <w:kern w:val="0"/>
          <w:sz w:val="28"/>
          <w:szCs w:val="28"/>
          <w:highlight w:val="none"/>
        </w:rPr>
      </w:pPr>
      <w:r>
        <w:rPr>
          <w:rFonts w:hint="eastAsia" w:ascii="仿宋_GB2312" w:hAnsi="Calibri" w:eastAsia="仿宋_GB2312"/>
          <w:color w:val="auto"/>
          <w:kern w:val="0"/>
          <w:sz w:val="28"/>
          <w:szCs w:val="28"/>
          <w:highlight w:val="none"/>
        </w:rPr>
        <w:t>4.题型结构</w:t>
      </w:r>
    </w:p>
    <w:p w14:paraId="57BD5873">
      <w:pPr>
        <w:widowControl/>
        <w:spacing w:line="440" w:lineRule="exact"/>
        <w:ind w:firstLine="560" w:firstLineChars="200"/>
        <w:jc w:val="left"/>
        <w:rPr>
          <w:rFonts w:ascii="仿宋_GB2312" w:hAnsi="Calibri" w:eastAsia="仿宋_GB2312"/>
          <w:color w:val="auto"/>
          <w:kern w:val="0"/>
          <w:sz w:val="28"/>
          <w:szCs w:val="28"/>
          <w:highlight w:val="none"/>
        </w:rPr>
      </w:pPr>
      <w:r>
        <w:rPr>
          <w:rFonts w:hint="eastAsia" w:ascii="仿宋_GB2312" w:hAnsi="Calibri" w:eastAsia="仿宋_GB2312"/>
          <w:color w:val="auto"/>
          <w:kern w:val="0"/>
          <w:sz w:val="28"/>
          <w:szCs w:val="28"/>
          <w:highlight w:val="none"/>
        </w:rPr>
        <w:t>名词解释题：4小题，每小题5分，共20分；</w:t>
      </w:r>
    </w:p>
    <w:p w14:paraId="0775659C">
      <w:pPr>
        <w:widowControl/>
        <w:spacing w:line="440" w:lineRule="exact"/>
        <w:ind w:firstLine="560" w:firstLineChars="200"/>
        <w:jc w:val="left"/>
        <w:rPr>
          <w:rFonts w:ascii="仿宋_GB2312" w:hAnsi="Calibri" w:eastAsia="仿宋_GB2312"/>
          <w:color w:val="auto"/>
          <w:kern w:val="0"/>
          <w:sz w:val="28"/>
          <w:szCs w:val="28"/>
          <w:highlight w:val="none"/>
        </w:rPr>
      </w:pPr>
      <w:r>
        <w:rPr>
          <w:rFonts w:hint="eastAsia" w:ascii="仿宋_GB2312" w:hAnsi="Calibri" w:eastAsia="仿宋_GB2312"/>
          <w:color w:val="auto"/>
          <w:kern w:val="0"/>
          <w:sz w:val="28"/>
          <w:szCs w:val="28"/>
          <w:highlight w:val="none"/>
        </w:rPr>
        <w:t>简  答  题：4小题，每小题10分，共40分；</w:t>
      </w:r>
    </w:p>
    <w:p w14:paraId="458F1135">
      <w:pPr>
        <w:widowControl/>
        <w:spacing w:line="440" w:lineRule="exact"/>
        <w:ind w:firstLine="560" w:firstLineChars="200"/>
        <w:jc w:val="left"/>
        <w:rPr>
          <w:rFonts w:ascii="仿宋_GB2312" w:hAnsi="Calibri" w:eastAsia="仿宋_GB2312"/>
          <w:color w:val="auto"/>
          <w:kern w:val="0"/>
          <w:sz w:val="28"/>
          <w:szCs w:val="28"/>
          <w:highlight w:val="none"/>
        </w:rPr>
      </w:pPr>
      <w:r>
        <w:rPr>
          <w:rFonts w:hint="eastAsia" w:ascii="仿宋_GB2312" w:hAnsi="Calibri" w:eastAsia="仿宋_GB2312"/>
          <w:color w:val="auto"/>
          <w:kern w:val="0"/>
          <w:sz w:val="28"/>
          <w:szCs w:val="28"/>
          <w:highlight w:val="none"/>
        </w:rPr>
        <w:t>案例分析题：1小题，每小题20分，共20分；</w:t>
      </w:r>
    </w:p>
    <w:p w14:paraId="52228CC1">
      <w:pPr>
        <w:widowControl/>
        <w:spacing w:line="440" w:lineRule="exact"/>
        <w:ind w:firstLine="560" w:firstLineChars="200"/>
        <w:jc w:val="left"/>
        <w:rPr>
          <w:rFonts w:ascii="仿宋_GB2312" w:hAnsi="Calibri" w:eastAsia="仿宋_GB2312"/>
          <w:color w:val="auto"/>
          <w:kern w:val="0"/>
          <w:sz w:val="28"/>
          <w:szCs w:val="28"/>
          <w:highlight w:val="none"/>
        </w:rPr>
      </w:pPr>
      <w:r>
        <w:rPr>
          <w:rFonts w:hint="eastAsia" w:ascii="仿宋_GB2312" w:hAnsi="Calibri" w:eastAsia="仿宋_GB2312"/>
          <w:color w:val="auto"/>
          <w:kern w:val="0"/>
          <w:sz w:val="28"/>
          <w:szCs w:val="28"/>
          <w:highlight w:val="none"/>
        </w:rPr>
        <w:t>论  述  题：2小题，每小题 35分，共70分</w:t>
      </w:r>
    </w:p>
    <w:p w14:paraId="5386A32B">
      <w:pPr>
        <w:widowControl/>
        <w:spacing w:before="156" w:after="156" w:line="440" w:lineRule="exact"/>
        <w:ind w:firstLine="548" w:firstLineChars="196"/>
        <w:jc w:val="left"/>
        <w:rPr>
          <w:rFonts w:ascii="黑体" w:hAnsi="黑体" w:eastAsia="黑体"/>
          <w:bCs/>
          <w:color w:val="auto"/>
          <w:kern w:val="0"/>
          <w:sz w:val="28"/>
          <w:szCs w:val="28"/>
          <w:highlight w:val="none"/>
        </w:rPr>
      </w:pPr>
      <w:r>
        <w:rPr>
          <w:rFonts w:hint="eastAsia" w:ascii="黑体" w:hAnsi="黑体" w:eastAsia="黑体"/>
          <w:bCs/>
          <w:color w:val="auto"/>
          <w:kern w:val="0"/>
          <w:sz w:val="28"/>
          <w:szCs w:val="28"/>
          <w:highlight w:val="none"/>
        </w:rPr>
        <w:t>二、考试内容</w:t>
      </w:r>
    </w:p>
    <w:p w14:paraId="412EB921">
      <w:pPr>
        <w:widowControl/>
        <w:spacing w:after="200" w:line="440" w:lineRule="exact"/>
        <w:ind w:firstLine="480"/>
        <w:jc w:val="left"/>
        <w:rPr>
          <w:rFonts w:ascii="仿宋_GB2312" w:hAnsi="宋体" w:eastAsia="仿宋_GB2312"/>
          <w:b/>
          <w:color w:val="auto"/>
          <w:kern w:val="0"/>
          <w:sz w:val="28"/>
          <w:szCs w:val="28"/>
          <w:highlight w:val="none"/>
          <w:lang w:bidi="hi-IN"/>
        </w:rPr>
      </w:pPr>
      <w:r>
        <w:rPr>
          <w:rFonts w:hint="eastAsia" w:ascii="仿宋_GB2312" w:hAnsi="宋体" w:eastAsia="仿宋_GB2312"/>
          <w:b/>
          <w:color w:val="auto"/>
          <w:kern w:val="0"/>
          <w:sz w:val="28"/>
          <w:szCs w:val="28"/>
          <w:highlight w:val="none"/>
          <w:lang w:bidi="hi-IN"/>
        </w:rPr>
        <w:t>●考试目标：</w:t>
      </w:r>
    </w:p>
    <w:p w14:paraId="2A25B845">
      <w:pPr>
        <w:widowControl/>
        <w:spacing w:line="440" w:lineRule="exact"/>
        <w:ind w:firstLine="560" w:firstLineChars="200"/>
        <w:jc w:val="left"/>
        <w:rPr>
          <w:rFonts w:ascii="仿宋_GB2312" w:hAnsi="Calibri" w:eastAsia="仿宋_GB2312"/>
          <w:color w:val="auto"/>
          <w:kern w:val="0"/>
          <w:sz w:val="28"/>
          <w:szCs w:val="28"/>
          <w:highlight w:val="none"/>
        </w:rPr>
      </w:pPr>
      <w:r>
        <w:rPr>
          <w:rFonts w:hint="eastAsia" w:ascii="仿宋_GB2312" w:hAnsi="Calibri" w:eastAsia="仿宋_GB2312"/>
          <w:color w:val="auto"/>
          <w:kern w:val="0"/>
          <w:sz w:val="28"/>
          <w:szCs w:val="28"/>
          <w:highlight w:val="none"/>
        </w:rPr>
        <w:t>通过考试，全面系统地检验学生对民事诉讼法的基本概念、基本制度和基本理论的掌握情况。</w:t>
      </w:r>
    </w:p>
    <w:p w14:paraId="74F046BC">
      <w:pPr>
        <w:widowControl/>
        <w:spacing w:line="440" w:lineRule="exact"/>
        <w:ind w:firstLine="560" w:firstLineChars="200"/>
        <w:jc w:val="left"/>
        <w:rPr>
          <w:rFonts w:ascii="仿宋_GB2312" w:hAnsi="Calibri" w:eastAsia="仿宋_GB2312"/>
          <w:color w:val="auto"/>
          <w:kern w:val="0"/>
          <w:sz w:val="28"/>
          <w:szCs w:val="28"/>
          <w:highlight w:val="none"/>
        </w:rPr>
      </w:pPr>
      <w:r>
        <w:rPr>
          <w:rFonts w:hint="eastAsia" w:ascii="仿宋_GB2312" w:hAnsi="Calibri" w:eastAsia="仿宋_GB2312"/>
          <w:color w:val="auto"/>
          <w:kern w:val="0"/>
          <w:sz w:val="28"/>
          <w:szCs w:val="28"/>
          <w:highlight w:val="none"/>
        </w:rPr>
        <w:t>让考试成为考生学习发展的正面导向，使学生形成扎实的专业素养，引导考生自主学习、自主发现、自主创造，引导考生养成积极、能动的学习习惯，形成良好的学风。</w:t>
      </w:r>
    </w:p>
    <w:p w14:paraId="6C471113">
      <w:pPr>
        <w:widowControl/>
        <w:spacing w:line="440" w:lineRule="exact"/>
        <w:ind w:firstLine="560" w:firstLineChars="200"/>
        <w:jc w:val="left"/>
        <w:rPr>
          <w:rFonts w:ascii="仿宋_GB2312" w:hAnsi="Calibri" w:eastAsia="仿宋_GB2312"/>
          <w:color w:val="auto"/>
          <w:kern w:val="0"/>
          <w:sz w:val="28"/>
          <w:szCs w:val="28"/>
          <w:highlight w:val="none"/>
        </w:rPr>
      </w:pPr>
      <w:r>
        <w:rPr>
          <w:rFonts w:hint="eastAsia" w:ascii="仿宋_GB2312" w:hAnsi="Calibri" w:eastAsia="仿宋_GB2312"/>
          <w:color w:val="auto"/>
          <w:kern w:val="0"/>
          <w:sz w:val="28"/>
          <w:szCs w:val="28"/>
          <w:highlight w:val="none"/>
        </w:rPr>
        <w:t>强调以人为本，致力于考生专业知识、专业能力和综合素质的协调发展，引导考生不断养成学以致用、理论联系实际的能力，提高考生的创新意识和自学能力。</w:t>
      </w:r>
    </w:p>
    <w:p w14:paraId="2E41CE07">
      <w:pPr>
        <w:widowControl/>
        <w:spacing w:after="200" w:line="440" w:lineRule="exact"/>
        <w:ind w:firstLine="480"/>
        <w:jc w:val="left"/>
        <w:rPr>
          <w:rFonts w:ascii="仿宋_GB2312" w:hAnsi="宋体" w:eastAsia="仿宋_GB2312"/>
          <w:b/>
          <w:color w:val="auto"/>
          <w:kern w:val="0"/>
          <w:sz w:val="28"/>
          <w:szCs w:val="28"/>
          <w:highlight w:val="none"/>
          <w:lang w:bidi="hi-IN"/>
        </w:rPr>
      </w:pPr>
      <w:r>
        <w:rPr>
          <w:rFonts w:hint="eastAsia" w:ascii="仿宋_GB2312" w:hAnsi="宋体" w:eastAsia="仿宋_GB2312"/>
          <w:b/>
          <w:color w:val="auto"/>
          <w:kern w:val="0"/>
          <w:sz w:val="28"/>
          <w:szCs w:val="28"/>
          <w:highlight w:val="none"/>
          <w:lang w:bidi="hi-IN"/>
        </w:rPr>
        <w:t>●考试内容</w:t>
      </w:r>
    </w:p>
    <w:p w14:paraId="23BB8479">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（一）民事诉讼法学理论 </w:t>
      </w:r>
    </w:p>
    <w:p w14:paraId="2CAADA0E">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1.民事诉讼法学及其研究对象；2.民事诉讼法学体系和研习方法；3.民事纠纷；4.民事纠纷的解决机制；5.民事诉讼；6.民事诉讼法</w:t>
      </w:r>
    </w:p>
    <w:p w14:paraId="3C1B70F7">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掌握民事纠纷、民事诉讼、民事诉讼法的概念；理解和掌握民事纠纷的解决机制。</w:t>
      </w:r>
    </w:p>
    <w:p w14:paraId="0C7C5D2E">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（二） 民事诉讼法律关系 </w:t>
      </w:r>
    </w:p>
    <w:p w14:paraId="531E64A5">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1.民事诉讼法律关系概述；2.民事诉讼法律关系要素</w:t>
      </w:r>
    </w:p>
    <w:p w14:paraId="24DCAFCD">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掌握民事诉讼法律关系的概念；理解掌握民事诉讼法律关系三要素及诉讼上的法律事实。</w:t>
      </w:r>
    </w:p>
    <w:p w14:paraId="090AA7B7">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（三） 民事诉讼中的诉权和诉</w:t>
      </w:r>
    </w:p>
    <w:p w14:paraId="1199F191">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1.民事诉讼中的诉权；2.诉的概说；3.诉的要素；4.诉的种类；5.民事诉讼中的诉 </w:t>
      </w:r>
    </w:p>
    <w:p w14:paraId="51B81312">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了解诉权的含义及诉权的价值；诉的制度、掌握诉的种类及反诉制度、诉的要素。 </w:t>
      </w:r>
    </w:p>
    <w:p w14:paraId="20C25A5D">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（四）民事诉讼法的基本原则 </w:t>
      </w:r>
    </w:p>
    <w:p w14:paraId="42CFB1C0">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1.民事诉讼法基本原则概说；2.诉讼权利平等原则；3.处分原则；4.辩论原则；5.诚实信用原则  6.检察监督原则</w:t>
      </w:r>
    </w:p>
    <w:p w14:paraId="47B73D84">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掌握理解辩论原则、处分原则的内容和要求；了解民事诉讼基本原则的概念和意义。</w:t>
      </w:r>
    </w:p>
    <w:p w14:paraId="5462D7E7">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（五）  民事审判的基本制度</w:t>
      </w:r>
    </w:p>
    <w:p w14:paraId="2493A46B">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1.合议制度；2.回避制度； 3.公开审判制度；4.两审终审制度5.陪审制度</w:t>
      </w:r>
    </w:p>
    <w:p w14:paraId="357DDB24">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sz w:val="28"/>
          <w:highlight w:val="none"/>
          <w:lang w:bidi="hi-IN"/>
        </w:rPr>
        <w:t>理解并掌握合议、回避、公开审判、两审终审等基本制度，了解审判委员会与合议庭的关系，</w:t>
      </w:r>
      <w:r>
        <w:rPr>
          <w:rFonts w:hint="eastAsia" w:ascii="仿宋_GB2312" w:hAnsi="宋体" w:eastAsia="仿宋_GB2312"/>
          <w:color w:val="auto"/>
          <w:kern w:val="0"/>
          <w:sz w:val="28"/>
          <w:szCs w:val="28"/>
          <w:highlight w:val="none"/>
          <w:lang w:bidi="hi-IN"/>
        </w:rPr>
        <w:t>了解独任制审判范围的扩大。</w:t>
      </w:r>
    </w:p>
    <w:p w14:paraId="3E810B03">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（六）　受案范围与管辖</w:t>
      </w:r>
    </w:p>
    <w:p w14:paraId="158DAE05">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1.人民法院受案范围；2.人民法院管辖概述；3.级别管辖；4.地域管辖；5.裁定管辖和管辖权异议</w:t>
      </w:r>
    </w:p>
    <w:p w14:paraId="70E1CED9">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理解并掌握级别管辖、地域管辖，掌握我国现行管辖规则并能运用于实践。</w:t>
      </w:r>
    </w:p>
    <w:p w14:paraId="12FDDD54">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（七）当事人</w:t>
      </w:r>
    </w:p>
    <w:p w14:paraId="6A301451">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1.当事人概述；　2.共同诉讼人；3.诉讼代表人；4.诉讼中的第三人</w:t>
      </w:r>
    </w:p>
    <w:p w14:paraId="40BD0F41">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了解当事人的种类、称谓、当事人的诉讼权利能力和诉讼行为能力、当事人诉讼权利与义务以及诉讼权利义务的承担、共同诉讼人和诉讼代表人、诉讼中第三人的概念。</w:t>
      </w:r>
    </w:p>
    <w:p w14:paraId="7F0043CB">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（八）诉讼代理人</w:t>
      </w:r>
    </w:p>
    <w:p w14:paraId="77D410DB">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1.诉讼代理人的概述；2.法定代理人；3.委托代理人</w:t>
      </w:r>
    </w:p>
    <w:p w14:paraId="69BFB6D5">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理解诉讼代理制度的本质和作用；掌握诉讼代理人的特点和不同种类诉讼代理人的区别；正确适用诉讼代理的法律规定。 </w:t>
      </w:r>
    </w:p>
    <w:p w14:paraId="08310CD3">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（九）民事诉讼证据 </w:t>
      </w:r>
    </w:p>
    <w:p w14:paraId="0AEC4ADE">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1.民事诉讼证据概述；2.民事诉讼证据的分类；3.民事诉讼证据的种类；4.证据的收集、交换和保全</w:t>
      </w:r>
    </w:p>
    <w:p w14:paraId="6DAD19D5">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理解民事诉讼证据的特征、作用、种类和分类；会证据能力的含义和确定我国民事诉讼证据证明力的规则。</w:t>
      </w:r>
    </w:p>
    <w:p w14:paraId="3FD6DE22">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（十）民事诉讼证明</w:t>
      </w:r>
    </w:p>
    <w:p w14:paraId="2CF0EC32">
      <w:pPr>
        <w:widowControl/>
        <w:spacing w:after="200" w:line="440" w:lineRule="exact"/>
        <w:ind w:firstLine="560" w:firstLineChars="200"/>
        <w:jc w:val="left"/>
        <w:rPr>
          <w:rFonts w:hint="eastAsia" w:ascii="仿宋_GB2312" w:hAnsi="宋体" w:eastAsia="仿宋_GB2312"/>
          <w:color w:val="auto"/>
          <w:kern w:val="0"/>
          <w:sz w:val="28"/>
          <w:szCs w:val="28"/>
          <w:highlight w:val="none"/>
          <w:lang w:eastAsia="zh-CN" w:bidi="hi-IN"/>
        </w:rPr>
      </w:pPr>
      <w:r>
        <w:rPr>
          <w:rFonts w:hint="eastAsia" w:ascii="仿宋_GB2312" w:hAnsi="宋体" w:eastAsia="仿宋_GB2312"/>
          <w:color w:val="auto"/>
          <w:kern w:val="0"/>
          <w:sz w:val="28"/>
          <w:szCs w:val="28"/>
          <w:highlight w:val="none"/>
          <w:lang w:bidi="hi-IN"/>
        </w:rPr>
        <w:t xml:space="preserve"> 1.民事诉讼证明概述； 2.证明对象；3.证明责任；4.证明标准</w:t>
      </w:r>
      <w:r>
        <w:rPr>
          <w:rFonts w:hint="eastAsia" w:ascii="仿宋_GB2312" w:hAnsi="宋体" w:eastAsia="仿宋_GB2312"/>
          <w:color w:val="auto"/>
          <w:kern w:val="0"/>
          <w:sz w:val="28"/>
          <w:szCs w:val="28"/>
          <w:highlight w:val="none"/>
          <w:lang w:bidi="hi-IN"/>
        </w:rPr>
        <w:t>5.刑事诉讼的证明过程6.民事诉讼和行政诉讼的证明过程</w:t>
      </w:r>
      <w:r>
        <w:rPr>
          <w:rFonts w:hint="eastAsia" w:ascii="仿宋_GB2312" w:hAnsi="宋体" w:eastAsia="仿宋_GB2312"/>
          <w:color w:val="auto"/>
          <w:kern w:val="0"/>
          <w:sz w:val="28"/>
          <w:szCs w:val="28"/>
          <w:highlight w:val="none"/>
          <w:lang w:bidi="hi-IN"/>
        </w:rPr>
        <w:t>7.推定与司法认知</w:t>
      </w:r>
      <w:r>
        <w:rPr>
          <w:rFonts w:hint="eastAsia" w:ascii="仿宋_GB2312" w:hAnsi="宋体" w:eastAsia="仿宋_GB2312"/>
          <w:color w:val="auto"/>
          <w:kern w:val="0"/>
          <w:sz w:val="28"/>
          <w:szCs w:val="28"/>
          <w:highlight w:val="none"/>
          <w:lang w:eastAsia="zh-CN" w:bidi="hi-IN"/>
        </w:rPr>
        <w:t>（</w:t>
      </w:r>
      <w:r>
        <w:rPr>
          <w:rFonts w:hint="eastAsia" w:ascii="仿宋_GB2312" w:hAnsi="宋体" w:eastAsia="仿宋_GB2312"/>
          <w:color w:val="auto"/>
          <w:kern w:val="0"/>
          <w:sz w:val="28"/>
          <w:szCs w:val="28"/>
          <w:highlight w:val="none"/>
          <w:lang w:val="en-US" w:eastAsia="zh-CN" w:bidi="hi-IN"/>
        </w:rPr>
        <w:t>标黄部分请斟酌是否合理</w:t>
      </w:r>
      <w:r>
        <w:rPr>
          <w:rFonts w:hint="eastAsia" w:ascii="仿宋_GB2312" w:hAnsi="宋体" w:eastAsia="仿宋_GB2312"/>
          <w:color w:val="auto"/>
          <w:kern w:val="0"/>
          <w:sz w:val="28"/>
          <w:szCs w:val="28"/>
          <w:highlight w:val="none"/>
          <w:lang w:eastAsia="zh-CN" w:bidi="hi-IN"/>
        </w:rPr>
        <w:t>）</w:t>
      </w:r>
    </w:p>
    <w:p w14:paraId="29664FDB">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p>
    <w:p w14:paraId="70C5174C">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理解并掌握证明对象的概念、作用和范围；民事诉讼证明标准；理解并掌握证明责任的概念及分配标准，理解并掌握刑事诉讼的证明过程；民事诉讼和行政诉讼的证明过程；推定与司法认知。</w:t>
      </w:r>
    </w:p>
    <w:p w14:paraId="5451852F">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（十一） 法院调解</w:t>
      </w:r>
    </w:p>
    <w:p w14:paraId="54889D01">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1.法院调解概述；2.法院调解的原则和程序；3.法院调解书的形式和效力</w:t>
      </w:r>
    </w:p>
    <w:p w14:paraId="4FC96EAF">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理解并掌握法院调解书的形式和效力 ，理解并掌握法院调解的性质、特征和意义。</w:t>
      </w:r>
    </w:p>
    <w:p w14:paraId="0A3BEE18">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（十二）诉讼保障制度 </w:t>
      </w:r>
    </w:p>
    <w:p w14:paraId="4728F8F5">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1.保全；2.先予执行；3.妨害民事诉讼的强制措施</w:t>
      </w:r>
    </w:p>
    <w:p w14:paraId="6222C704">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考试要求：理解并掌握保全、先予执行的概念；强制措施的种类及其适用；了解保全、先予执行的种类及适用的程序。</w:t>
      </w:r>
    </w:p>
    <w:p w14:paraId="000DA626">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（十三）期间、送达和诉讼费用 </w:t>
      </w:r>
    </w:p>
    <w:p w14:paraId="71E17B1B">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1.期间；2.送达；3.诉讼费用</w:t>
      </w:r>
    </w:p>
    <w:p w14:paraId="31F06A6F">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理解并掌握期间的概念、计算及补救；理解并掌握送达的方式及效力；了解诉讼费用的种类、诉讼费用的预交和管理、诉讼费用的负担原则。</w:t>
      </w:r>
    </w:p>
    <w:p w14:paraId="41CA6E3F">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（十四）普通程序 </w:t>
      </w:r>
    </w:p>
    <w:p w14:paraId="5BFCA093">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1.普通程序概述；2.起诉和受理；3.审理前的准备；4.开庭审理；5.撤诉和缺席审理；6.诉讼中止和诉讼终结；7.民事判决、裁定和决定</w:t>
      </w:r>
    </w:p>
    <w:p w14:paraId="3AFA3F20">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理解并掌握普通程序的含义、内容；理解并掌握普通程序的各项法律规定；了解民事判决的既判力。</w:t>
      </w:r>
    </w:p>
    <w:p w14:paraId="46824CDD">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（十五）简易程序和小额诉讼程序</w:t>
      </w:r>
    </w:p>
    <w:p w14:paraId="1F6D8DE0">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1.简易程序概述；2.简易程序的特点；3.简易程序的适用</w:t>
      </w:r>
    </w:p>
    <w:p w14:paraId="2ABEAD48">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了解简易程序的含义、特点和意义；理解并掌握简易程序的法律规定；理解并掌握小额诉讼程序制度；了解简易程序的适用范围及简易程序与普通程序的关系。</w:t>
      </w:r>
    </w:p>
    <w:p w14:paraId="6D9714A4">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（十六）第二审程序 </w:t>
      </w:r>
    </w:p>
    <w:p w14:paraId="05691D25">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1.第二审程序概述；2.上诉案件的提起和审理；3.上诉案件的裁判</w:t>
      </w:r>
    </w:p>
    <w:p w14:paraId="1CF7BF5F">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理解并掌握第二审程序的含义、性质和意义；理解并掌握提起上诉的条件和程序；理解并掌握上诉案件的裁判；理解并掌握第二审程序的审理范围。</w:t>
      </w:r>
    </w:p>
    <w:p w14:paraId="57811FA4">
      <w:pPr>
        <w:widowControl/>
        <w:numPr>
          <w:ilvl w:val="0"/>
          <w:numId w:val="1"/>
        </w:numPr>
        <w:spacing w:after="200" w:line="440" w:lineRule="exact"/>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再审程序</w:t>
      </w:r>
    </w:p>
    <w:p w14:paraId="49B4429F">
      <w:pPr>
        <w:widowControl/>
        <w:spacing w:after="200" w:line="440" w:lineRule="exact"/>
        <w:ind w:left="0" w:leftChars="0" w:firstLine="0" w:firstLineChars="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w:t>
      </w:r>
      <w:r>
        <w:rPr>
          <w:rFonts w:hint="eastAsia" w:ascii="仿宋_GB2312" w:hAnsi="宋体" w:eastAsia="仿宋_GB2312"/>
          <w:color w:val="auto"/>
          <w:kern w:val="0"/>
          <w:sz w:val="28"/>
          <w:szCs w:val="28"/>
          <w:highlight w:val="none"/>
          <w:lang w:val="en-US" w:eastAsia="zh-CN" w:bidi="hi-IN"/>
        </w:rPr>
        <w:t xml:space="preserve">   </w:t>
      </w:r>
      <w:r>
        <w:rPr>
          <w:rFonts w:hint="eastAsia" w:ascii="仿宋_GB2312" w:hAnsi="宋体" w:eastAsia="仿宋_GB2312"/>
          <w:color w:val="auto"/>
          <w:kern w:val="0"/>
          <w:sz w:val="28"/>
          <w:szCs w:val="28"/>
          <w:highlight w:val="none"/>
          <w:lang w:bidi="hi-IN"/>
        </w:rPr>
        <w:t>1.再审程序概述；2.人民法院提起的再审程序；3.人民检察院提起的再审程序；4.因当事人申请再审而开始的再审程序；5.再审的诉讼程序6.案外人再审；7.第三人撤销之诉</w:t>
      </w:r>
    </w:p>
    <w:p w14:paraId="4B61175B">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理解并掌握再审事由、再审审理程序、再审裁判的法律效力；了解审判监督程序的性质、特点、意义及与第二审程序的区别；理解并掌握案外人申请再审和第三人撤销之诉的关系。</w:t>
      </w:r>
    </w:p>
    <w:p w14:paraId="0EE6ED95">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（十八） 特别程序 </w:t>
      </w:r>
    </w:p>
    <w:p w14:paraId="40E0DB15">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1.特别程序概说；2.非讼程序的基础理论；3.选民资格案件程序；4.宣告公民失踪和宣告公民死亡案件的审理程序；5.认定公民无民事行为能力和限制民事行为能力案件的审理程序；6.认定财产无主案件的审理程序 </w:t>
      </w:r>
    </w:p>
    <w:p w14:paraId="36AB06AF">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理解并掌握特别程序的含义、特点和适用范围；理解并掌握 选民资格案件、宣告公民失踪和宣告公民死亡案件、认定公民无行为能力或限制行为能力案件、指定或撤销监护人和变更监护关系案件以及认定财产无主案件审理程序的具体规定；理解并掌握非讼程序的基础理论。</w:t>
      </w:r>
    </w:p>
    <w:p w14:paraId="76538F89">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（十九）督促程序 </w:t>
      </w:r>
    </w:p>
    <w:p w14:paraId="08F3C61D">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1.督促程序概述；2.支付令的申请和受理；3.人民法院对支付令申请的审查和处理；4.债务人异议和督促程序的终结</w:t>
      </w:r>
    </w:p>
    <w:p w14:paraId="29463C25">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理解并掌握督促程序的含义、适用范围和特点；理解并掌握我国民事诉讼法关于支付令的申请、发出和对支付令的异议所作的具体规定。</w:t>
      </w:r>
    </w:p>
    <w:p w14:paraId="6589239C">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（二十）公示催告程序 </w:t>
      </w:r>
    </w:p>
    <w:p w14:paraId="6ADC25D5">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1.公示催告程序概说；2.公示催告程序的适用范围；3.公示催告案件的审理</w:t>
      </w:r>
    </w:p>
    <w:p w14:paraId="705C7E71">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理解并掌握公示催告程序的含义、适用范围和特点；理解并掌握我国民事诉讼法关于公示催告申请的提起和受理、公示催告案件的审理所作的具体规定；除权判决。</w:t>
      </w:r>
    </w:p>
    <w:p w14:paraId="3675456B">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（二十一）执行程序 </w:t>
      </w:r>
    </w:p>
    <w:p w14:paraId="5617EBBA">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1.执行程序概述；2.执行的一般规定；3.执行原则；4.执行开始；5.执行措施；6.执行结束；7.执行回转；8、执行救济；9、执行异议；10、第三人异议之诉；11、许可执行之诉；12、执行冲突；13、参与分配</w:t>
      </w:r>
    </w:p>
    <w:p w14:paraId="4C2434A5">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理解并掌握执行的概念、意义与特点；掌握执行的一般规定、执行开始、执行结束、执行回转等内容；理解并掌握执行程序与审理程序的关系；了解执行权的性质；掌握执行救济制度、理解并掌握第三人异议之诉制度参与分配制度。</w:t>
      </w:r>
    </w:p>
    <w:p w14:paraId="18782756">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（二十二）涉外民事诉讼程序的特别规定 </w:t>
      </w:r>
    </w:p>
    <w:p w14:paraId="44597C71">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 xml:space="preserve"> 1.涉外民事诉讼程序概述；2.涉外民事诉讼程序的一般原则；3.管辖；4.送达、期间；5.财产保全；6.涉外诉讼与涉外仲裁；7.司法协助</w:t>
      </w:r>
    </w:p>
    <w:p w14:paraId="0AB4075B">
      <w:pPr>
        <w:widowControl/>
        <w:spacing w:after="200" w:line="440" w:lineRule="exact"/>
        <w:ind w:firstLine="560" w:firstLineChars="200"/>
        <w:jc w:val="left"/>
        <w:rPr>
          <w:rFonts w:ascii="仿宋_GB2312" w:hAnsi="宋体" w:eastAsia="仿宋_GB2312"/>
          <w:color w:val="auto"/>
          <w:kern w:val="0"/>
          <w:sz w:val="28"/>
          <w:szCs w:val="28"/>
          <w:highlight w:val="none"/>
          <w:lang w:bidi="hi-IN"/>
        </w:rPr>
      </w:pPr>
      <w:r>
        <w:rPr>
          <w:rFonts w:hint="eastAsia" w:ascii="仿宋_GB2312" w:hAnsi="宋体" w:eastAsia="仿宋_GB2312"/>
          <w:color w:val="auto"/>
          <w:kern w:val="0"/>
          <w:sz w:val="28"/>
          <w:szCs w:val="28"/>
          <w:highlight w:val="none"/>
          <w:lang w:bidi="hi-IN"/>
        </w:rPr>
        <w:t>理解并掌握涉外民事诉讼程序的概念、意义；理解并掌握司法协助的概念。</w:t>
      </w:r>
    </w:p>
    <w:bookmarkEnd w:id="0"/>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书宋简体">
    <w:altName w:val="黑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2DCAF">
    <w:pPr>
      <w:pStyle w:val="7"/>
      <w:framePr w:wrap="around" w:vAnchor="text" w:hAnchor="margin" w:xAlign="right" w:y="1"/>
      <w:tabs>
        <w:tab w:val="clear" w:pos="4153"/>
        <w:tab w:val="clear" w:pos="8306"/>
      </w:tabs>
    </w:pPr>
    <w:r>
      <w:fldChar w:fldCharType="begin"/>
    </w:r>
    <w:r>
      <w:rPr>
        <w:rStyle w:val="12"/>
      </w:rPr>
      <w:instrText xml:space="preserve">PAGE  </w:instrText>
    </w:r>
    <w:r>
      <w:fldChar w:fldCharType="separate"/>
    </w:r>
    <w:r>
      <w:rPr>
        <w:rStyle w:val="12"/>
      </w:rPr>
      <w:t>1</w:t>
    </w:r>
    <w:r>
      <w:fldChar w:fldCharType="end"/>
    </w:r>
  </w:p>
  <w:p w14:paraId="65ABE907">
    <w:pPr>
      <w:pStyle w:val="7"/>
      <w:tabs>
        <w:tab w:val="clear" w:pos="4153"/>
        <w:tab w:val="clear" w:pos="8306"/>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08E9B">
    <w:pPr>
      <w:pStyle w:val="7"/>
      <w:framePr w:wrap="around" w:vAnchor="text" w:hAnchor="margin" w:xAlign="right" w:y="1"/>
      <w:tabs>
        <w:tab w:val="clear" w:pos="4153"/>
        <w:tab w:val="clear" w:pos="8306"/>
      </w:tabs>
    </w:pPr>
    <w:r>
      <w:fldChar w:fldCharType="begin"/>
    </w:r>
    <w:r>
      <w:rPr>
        <w:rStyle w:val="12"/>
      </w:rPr>
      <w:instrText xml:space="preserve">PAGE  </w:instrText>
    </w:r>
    <w:r>
      <w:fldChar w:fldCharType="end"/>
    </w:r>
  </w:p>
  <w:p w14:paraId="62B683DF">
    <w:pPr>
      <w:pStyle w:val="7"/>
      <w:tabs>
        <w:tab w:val="clear" w:pos="4153"/>
        <w:tab w:val="clear" w:pos="8306"/>
      </w:tabs>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F7E39">
    <w:pPr>
      <w:pStyle w:val="8"/>
      <w:pBdr>
        <w:bottom w:val="none" w:color="000000" w:sz="0" w:space="0"/>
      </w:pBd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A0930A"/>
    <w:multiLevelType w:val="singleLevel"/>
    <w:tmpl w:val="1BA0930A"/>
    <w:lvl w:ilvl="0" w:tentative="0">
      <w:start w:val="17"/>
      <w:numFmt w:val="chineseCounting"/>
      <w:suff w:val="nothing"/>
      <w:lvlText w:val="（%1）"/>
      <w:lvlJc w:val="left"/>
      <w:pPr>
        <w:ind w:left="8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NotTrackMoves/>
  <w:documentProtection w:enforcement="0"/>
  <w:defaultTabStop w:val="420"/>
  <w:displayHorizontalDrawingGridEvery w:val="0"/>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3NzliMThlY2UzYzBhZjc0YTgxMTM0MTYxZWIzOGYifQ=="/>
  </w:docVars>
  <w:rsids>
    <w:rsidRoot w:val="00F655F8"/>
    <w:rsid w:val="002406E3"/>
    <w:rsid w:val="00E95B93"/>
    <w:rsid w:val="00F655F8"/>
    <w:rsid w:val="070D6FF1"/>
    <w:rsid w:val="21B47E15"/>
    <w:rsid w:val="432F12F9"/>
    <w:rsid w:val="618E23A4"/>
    <w:rsid w:val="7BC76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qFormat/>
    <w:uiPriority w:val="0"/>
    <w:pPr>
      <w:keepNext/>
      <w:keepLines/>
      <w:spacing w:before="340" w:after="330" w:line="578" w:lineRule="auto"/>
      <w:outlineLvl w:val="0"/>
    </w:pPr>
    <w:rPr>
      <w:rFonts w:ascii="Calibri" w:hAnsi="Calibri"/>
      <w:b/>
      <w:bCs/>
      <w:kern w:val="44"/>
      <w:sz w:val="44"/>
      <w:szCs w:val="44"/>
    </w:rPr>
  </w:style>
  <w:style w:type="paragraph" w:styleId="3">
    <w:name w:val="heading 2"/>
    <w:basedOn w:val="1"/>
    <w:link w:val="13"/>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link w:val="14"/>
    <w:qFormat/>
    <w:uiPriority w:val="0"/>
    <w:pPr>
      <w:keepNext/>
      <w:keepLines/>
      <w:spacing w:before="260" w:after="260" w:line="416" w:lineRule="auto"/>
      <w:outlineLvl w:val="2"/>
    </w:pPr>
    <w:rPr>
      <w:rFonts w:ascii="Calibri" w:hAnsi="Calibr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alloon Text"/>
    <w:basedOn w:val="1"/>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pPr>
    <w:rPr>
      <w:sz w:val="18"/>
    </w:rPr>
  </w:style>
  <w:style w:type="paragraph" w:styleId="9">
    <w:name w:val="Title"/>
    <w:basedOn w:val="1"/>
    <w:link w:val="15"/>
    <w:qFormat/>
    <w:uiPriority w:val="0"/>
    <w:pPr>
      <w:spacing w:before="240" w:after="60"/>
      <w:jc w:val="center"/>
      <w:outlineLvl w:val="0"/>
    </w:pPr>
    <w:rPr>
      <w:rFonts w:ascii="Cambria" w:hAnsi="Cambria"/>
      <w:b/>
      <w:bCs/>
      <w:sz w:val="32"/>
      <w:szCs w:val="32"/>
    </w:rPr>
  </w:style>
  <w:style w:type="character" w:styleId="12">
    <w:name w:val="page number"/>
    <w:basedOn w:val="11"/>
    <w:qFormat/>
    <w:uiPriority w:val="0"/>
  </w:style>
  <w:style w:type="character" w:customStyle="1" w:styleId="13">
    <w:name w:val="标题 2 字符"/>
    <w:link w:val="3"/>
    <w:qFormat/>
    <w:uiPriority w:val="0"/>
    <w:rPr>
      <w:rFonts w:ascii="Cambria" w:hAnsi="Cambria" w:eastAsia="宋体"/>
      <w:b/>
      <w:bCs/>
      <w:kern w:val="2"/>
      <w:sz w:val="32"/>
      <w:szCs w:val="32"/>
      <w:lang w:val="en-US" w:eastAsia="zh-CN" w:bidi="ar-SA"/>
    </w:rPr>
  </w:style>
  <w:style w:type="character" w:customStyle="1" w:styleId="14">
    <w:name w:val="标题 3 字符"/>
    <w:link w:val="4"/>
    <w:qFormat/>
    <w:uiPriority w:val="0"/>
    <w:rPr>
      <w:rFonts w:ascii="Calibri" w:hAnsi="Calibri" w:eastAsia="宋体"/>
      <w:b/>
      <w:bCs/>
      <w:kern w:val="2"/>
      <w:sz w:val="32"/>
      <w:szCs w:val="32"/>
      <w:lang w:val="en-US" w:eastAsia="zh-CN" w:bidi="ar-SA"/>
    </w:rPr>
  </w:style>
  <w:style w:type="character" w:customStyle="1" w:styleId="15">
    <w:name w:val="标题 字符"/>
    <w:link w:val="9"/>
    <w:qFormat/>
    <w:uiPriority w:val="0"/>
    <w:rPr>
      <w:rFonts w:ascii="Cambria" w:hAnsi="Cambria" w:eastAsia="宋体"/>
      <w:b/>
      <w:bCs/>
      <w:kern w:val="2"/>
      <w:sz w:val="32"/>
      <w:szCs w:val="32"/>
      <w:lang w:val="en-US" w:eastAsia="zh-CN" w:bidi="ar-SA"/>
    </w:rPr>
  </w:style>
  <w:style w:type="character" w:customStyle="1" w:styleId="16">
    <w:name w:val="Char Char3"/>
    <w:qFormat/>
    <w:uiPriority w:val="0"/>
    <w:rPr>
      <w:rFonts w:ascii="Calibri" w:hAnsi="Calibri"/>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2964</Words>
  <Characters>3089</Characters>
  <Lines>24</Lines>
  <Paragraphs>6</Paragraphs>
  <TotalTime>2</TotalTime>
  <ScaleCrop>false</ScaleCrop>
  <LinksUpToDate>false</LinksUpToDate>
  <CharactersWithSpaces>3177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2023-06-21T07:21:00Z</dcterms:created>
  <dc:creator>©ss、</dc:creator>
  <cp:lastModifiedBy>杜佳慧</cp:lastModifiedBy>
  <dcterms:modified xsi:type="dcterms:W3CDTF">2025-09-03T06:56:47Z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AF6A3BB3540D4C91A0DFC9CB7AEE04CA_13</vt:lpwstr>
  </property>
  <property fmtid="{D5CDD505-2E9C-101B-9397-08002B2CF9AE}" pid="4" name="KSOTemplateDocerSaveRecord">
    <vt:lpwstr>eyJoZGlkIjoiZjc2ZGY4ZjlhMzkyZDA1NGMxNWJjYWFjMDYyYTQ4OWIiLCJ1c2VySWQiOiIxNjk3ODQyNzQ1In0=</vt:lpwstr>
  </property>
</Properties>
</file>